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CD494E">
        <w:rPr>
          <w:rFonts w:ascii="Century Gothic" w:hAnsi="Century Gothic"/>
          <w:b/>
          <w:sz w:val="24"/>
          <w:szCs w:val="24"/>
        </w:rPr>
        <w:t>Sex</w:t>
      </w:r>
      <w:r w:rsidR="00935F7D">
        <w:rPr>
          <w:rFonts w:ascii="Century Gothic" w:hAnsi="Century Gothic"/>
          <w:b/>
          <w:sz w:val="24"/>
          <w:szCs w:val="24"/>
        </w:rPr>
        <w:t>ta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CD494E">
        <w:rPr>
          <w:rFonts w:ascii="Century Gothic" w:hAnsi="Century Gothic"/>
          <w:b/>
          <w:sz w:val="24"/>
          <w:szCs w:val="24"/>
        </w:rPr>
        <w:t>13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CD494E">
        <w:rPr>
          <w:rFonts w:ascii="Century Gothic" w:hAnsi="Century Gothic"/>
          <w:b/>
          <w:sz w:val="24"/>
          <w:szCs w:val="24"/>
        </w:rPr>
        <w:t>tre</w:t>
      </w:r>
      <w:r w:rsidR="00935F7D">
        <w:rPr>
          <w:rFonts w:ascii="Century Gothic" w:hAnsi="Century Gothic"/>
          <w:b/>
          <w:sz w:val="24"/>
          <w:szCs w:val="24"/>
        </w:rPr>
        <w:t>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CD494E">
        <w:rPr>
          <w:rFonts w:ascii="Century Gothic" w:hAnsi="Century Gothic"/>
          <w:b/>
          <w:sz w:val="24"/>
          <w:szCs w:val="24"/>
        </w:rPr>
        <w:t>28 veintiocho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C65C5" w:rsidRDefault="0022658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1434</w:t>
      </w:r>
      <w:r w:rsidR="000C65C5">
        <w:rPr>
          <w:rFonts w:ascii="Century Gothic" w:hAnsi="Century Gothic"/>
          <w:b w:val="0"/>
          <w:sz w:val="24"/>
          <w:szCs w:val="24"/>
        </w:rPr>
        <w:t>/</w:t>
      </w:r>
      <w:r w:rsidR="00D300CB">
        <w:rPr>
          <w:rFonts w:ascii="Century Gothic" w:hAnsi="Century Gothic"/>
          <w:b w:val="0"/>
          <w:sz w:val="24"/>
          <w:szCs w:val="24"/>
        </w:rPr>
        <w:t>20</w:t>
      </w:r>
      <w:r w:rsidR="000C65C5">
        <w:rPr>
          <w:rFonts w:ascii="Century Gothic" w:hAnsi="Century Gothic"/>
          <w:b w:val="0"/>
          <w:sz w:val="24"/>
          <w:szCs w:val="24"/>
        </w:rPr>
        <w:t>19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Segundo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</w:t>
      </w:r>
      <w:r w:rsidR="000C65C5">
        <w:rPr>
          <w:rFonts w:ascii="Century Gothic" w:hAnsi="Century Gothic"/>
          <w:b w:val="0"/>
          <w:sz w:val="24"/>
          <w:szCs w:val="24"/>
        </w:rPr>
        <w:t>v</w:t>
      </w:r>
      <w:r w:rsidR="00D300CB">
        <w:rPr>
          <w:rFonts w:ascii="Century Gothic" w:hAnsi="Century Gothic"/>
          <w:b w:val="0"/>
          <w:sz w:val="24"/>
          <w:szCs w:val="24"/>
        </w:rPr>
        <w:t>o al Juicio de A</w:t>
      </w:r>
      <w:r>
        <w:rPr>
          <w:rFonts w:ascii="Century Gothic" w:hAnsi="Century Gothic"/>
          <w:b w:val="0"/>
          <w:sz w:val="24"/>
          <w:szCs w:val="24"/>
        </w:rPr>
        <w:t>mparo número 217</w:t>
      </w:r>
      <w:r w:rsidR="000C65C5">
        <w:rPr>
          <w:rFonts w:ascii="Century Gothic" w:hAnsi="Century Gothic"/>
          <w:b w:val="0"/>
          <w:sz w:val="24"/>
          <w:szCs w:val="24"/>
        </w:rPr>
        <w:t>/2017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recibido el día </w:t>
      </w:r>
      <w:r>
        <w:rPr>
          <w:rFonts w:ascii="Century Gothic" w:hAnsi="Century Gothic"/>
          <w:b w:val="0"/>
          <w:sz w:val="24"/>
          <w:szCs w:val="24"/>
        </w:rPr>
        <w:t xml:space="preserve">23 </w:t>
      </w:r>
      <w:r w:rsidR="00930AFC">
        <w:rPr>
          <w:rFonts w:ascii="Century Gothic" w:hAnsi="Century Gothic"/>
          <w:b w:val="0"/>
          <w:sz w:val="24"/>
          <w:szCs w:val="24"/>
        </w:rPr>
        <w:t>veintitrés</w:t>
      </w:r>
      <w:r w:rsidR="000C65C5">
        <w:rPr>
          <w:rFonts w:ascii="Century Gothic" w:hAnsi="Century Gothic"/>
          <w:b w:val="0"/>
          <w:sz w:val="24"/>
          <w:szCs w:val="24"/>
        </w:rPr>
        <w:t xml:space="preserve"> de enero del presente año, mediante el cual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requiere a este Tribunal por el cumpli</w:t>
      </w:r>
      <w:r w:rsidR="000C65C5">
        <w:rPr>
          <w:rFonts w:ascii="Century Gothic" w:hAnsi="Century Gothic"/>
          <w:b w:val="0"/>
          <w:sz w:val="24"/>
          <w:szCs w:val="24"/>
        </w:rPr>
        <w:t>miento de la ejecutoria del juicio de amparo referido</w:t>
      </w:r>
      <w:r w:rsidR="000C65C5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 w:rsidR="00930AFC">
        <w:rPr>
          <w:rFonts w:ascii="Century Gothic" w:hAnsi="Century Gothic"/>
          <w:b w:val="0"/>
          <w:sz w:val="24"/>
          <w:szCs w:val="24"/>
        </w:rPr>
        <w:t>ntencia del expediente 1113/2016</w:t>
      </w:r>
      <w:r w:rsidRPr="000C65C5">
        <w:rPr>
          <w:rFonts w:ascii="Century Gothic" w:hAnsi="Century Gothic"/>
          <w:b w:val="0"/>
          <w:sz w:val="24"/>
          <w:szCs w:val="24"/>
        </w:rPr>
        <w:t>, Recurso de Apelación derivad</w:t>
      </w:r>
      <w:r w:rsidR="00930AFC">
        <w:rPr>
          <w:rFonts w:ascii="Century Gothic" w:hAnsi="Century Gothic"/>
          <w:b w:val="0"/>
          <w:sz w:val="24"/>
          <w:szCs w:val="24"/>
        </w:rPr>
        <w:t>o del Juicio Administrativo 466/2011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 w:rsidR="00930AFC">
        <w:rPr>
          <w:rFonts w:ascii="Century Gothic" w:hAnsi="Century Gothic"/>
          <w:b w:val="0"/>
          <w:sz w:val="24"/>
          <w:szCs w:val="24"/>
        </w:rPr>
        <w:t>dice de la Sexta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930AFC">
        <w:rPr>
          <w:rFonts w:ascii="Century Gothic" w:hAnsi="Century Gothic"/>
          <w:b w:val="0"/>
          <w:sz w:val="24"/>
          <w:szCs w:val="24"/>
        </w:rPr>
        <w:t>limiento al Juicio de Amparo 217/2017 del Segundo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30AFC" w:rsidRDefault="00930AFC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>
        <w:rPr>
          <w:rFonts w:ascii="Century Gothic" w:hAnsi="Century Gothic"/>
          <w:b w:val="0"/>
          <w:sz w:val="24"/>
          <w:szCs w:val="24"/>
        </w:rPr>
        <w:t>ntencia del expediente 715/2018, Recurso de Reclam</w:t>
      </w:r>
      <w:r w:rsidRPr="000C65C5">
        <w:rPr>
          <w:rFonts w:ascii="Century Gothic" w:hAnsi="Century Gothic"/>
          <w:b w:val="0"/>
          <w:sz w:val="24"/>
          <w:szCs w:val="24"/>
        </w:rPr>
        <w:t>ación derivad</w:t>
      </w:r>
      <w:r>
        <w:rPr>
          <w:rFonts w:ascii="Century Gothic" w:hAnsi="Century Gothic"/>
          <w:b w:val="0"/>
          <w:sz w:val="24"/>
          <w:szCs w:val="24"/>
        </w:rPr>
        <w:t>o del Juicio Administrativo 862/2018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>
        <w:rPr>
          <w:rFonts w:ascii="Century Gothic" w:hAnsi="Century Gothic"/>
          <w:b w:val="0"/>
          <w:sz w:val="24"/>
          <w:szCs w:val="24"/>
        </w:rPr>
        <w:t>dice de la Quin</w:t>
      </w:r>
      <w:r>
        <w:rPr>
          <w:rFonts w:ascii="Century Gothic" w:hAnsi="Century Gothic"/>
          <w:b w:val="0"/>
          <w:sz w:val="24"/>
          <w:szCs w:val="24"/>
        </w:rPr>
        <w:t>ta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Sala Unitaria del Tribunal de Just</w:t>
      </w:r>
      <w:r>
        <w:rPr>
          <w:rFonts w:ascii="Century Gothic" w:hAnsi="Century Gothic"/>
          <w:b w:val="0"/>
          <w:sz w:val="24"/>
          <w:szCs w:val="24"/>
        </w:rPr>
        <w:t>icia Administrativa del Estado.</w:t>
      </w:r>
    </w:p>
    <w:p w:rsidR="000C65C5" w:rsidRPr="000C65C5" w:rsidRDefault="000C65C5" w:rsidP="000C65C5">
      <w:pPr>
        <w:pStyle w:val="Sangradetextonormal"/>
        <w:ind w:left="357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30AFC">
        <w:rPr>
          <w:rFonts w:ascii="Century Gothic" w:hAnsi="Century Gothic"/>
          <w:b/>
          <w:sz w:val="24"/>
          <w:szCs w:val="24"/>
        </w:rPr>
        <w:t>25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0C65C5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6585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30AFC"/>
    <w:rsid w:val="00935F7D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81C29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D494E"/>
    <w:rsid w:val="00CE1DD5"/>
    <w:rsid w:val="00D00CF2"/>
    <w:rsid w:val="00D025BD"/>
    <w:rsid w:val="00D203D4"/>
    <w:rsid w:val="00D20F98"/>
    <w:rsid w:val="00D300CB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4316-ECBF-49C9-8668-5E323FDC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2019-02-11T16:04:00Z</dcterms:created>
  <dcterms:modified xsi:type="dcterms:W3CDTF">2019-02-11T16:04:00Z</dcterms:modified>
</cp:coreProperties>
</file>